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" w:line="257" w:lineRule="auto"/>
        <w:ind w:left="-15" w:right="821" w:firstLine="837"/>
        <w:jc w:val="center"/>
        <w:rPr>
          <w:rFonts w:ascii="微软雅黑" w:hAnsi="微软雅黑" w:eastAsia="微软雅黑" w:cs="微软雅黑"/>
          <w:sz w:val="44"/>
        </w:rPr>
      </w:pPr>
      <w:bookmarkStart w:id="1" w:name="_GoBack"/>
      <w:bookmarkEnd w:id="1"/>
      <w:r>
        <w:rPr>
          <w:rFonts w:ascii="微软雅黑" w:hAnsi="微软雅黑" w:eastAsia="微软雅黑" w:cs="微软雅黑"/>
          <w:sz w:val="44"/>
        </w:rPr>
        <w:t>比赛评分指标</w:t>
      </w:r>
    </w:p>
    <w:p>
      <w:pPr>
        <w:spacing w:after="3" w:line="257" w:lineRule="auto"/>
        <w:ind w:left="-15" w:right="821" w:firstLine="837"/>
        <w:rPr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教学设计</w:t>
      </w:r>
    </w:p>
    <w:tbl>
      <w:tblPr>
        <w:tblStyle w:val="10"/>
        <w:tblW w:w="9190" w:type="dxa"/>
        <w:jc w:val="center"/>
        <w:tblInd w:w="0" w:type="dxa"/>
        <w:tblLayout w:type="fixed"/>
        <w:tblCellMar>
          <w:top w:w="0" w:type="dxa"/>
          <w:left w:w="107" w:type="dxa"/>
          <w:bottom w:w="81" w:type="dxa"/>
          <w:right w:w="0" w:type="dxa"/>
        </w:tblCellMar>
      </w:tblPr>
      <w:tblGrid>
        <w:gridCol w:w="1186"/>
        <w:gridCol w:w="682"/>
        <w:gridCol w:w="7322"/>
      </w:tblGrid>
      <w:tr>
        <w:tblPrEx>
          <w:tblLayout w:type="fixed"/>
          <w:tblCellMar>
            <w:top w:w="0" w:type="dxa"/>
            <w:left w:w="107" w:type="dxa"/>
            <w:bottom w:w="81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0" w:name="_Hlk82416349"/>
            <w:r>
              <w:rPr>
                <w:rFonts w:ascii="黑体" w:hAnsi="黑体" w:eastAsia="黑体" w:cs="黑体"/>
                <w:sz w:val="24"/>
                <w:szCs w:val="24"/>
              </w:rPr>
              <w:t>评价指标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分值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评价要素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81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</w:p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学情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1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1.适应新时代对技术技能人才培养的新要求，紧扣学校专业人才培养方案和课程教学安排，强调培育学生的学习能力、信息素养、精益求精的工匠精神和爱岗敬业的劳动态度。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2.教学目标表述明确、相互关联，重点突出、可评可测。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3.客观分析学生的知识基础、认知能力、学习特点、专业特性等，详实反映学生整体与个体情况数据，准确预判教学难点及其理解掌握的可能。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81" w:type="dxa"/>
            <w:right w:w="0" w:type="dxa"/>
          </w:tblCellMar>
        </w:tblPrEx>
        <w:trPr>
          <w:trHeight w:val="343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1.课程注重落实课程思政要求；联系时代发展和社会生活，结合课程特点有机融入劳动教育内容，融通专业课程和职业能力，培育创新意识。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2.教学内容有效支撑教学目标的实现，选择科学严谨、容量适度，安排合理、衔接有序、结构清晰。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.教学过程系统优化，流程环节构思得当，技术应用预想合理，方法手段设计恰当，评价考核考虑周全。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81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教学素养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1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现场的内容介绍、教学展示聚焦主题、科学准确、思路清晰、逻辑严谨、研究深入、手段得当、简洁明了、表达流畅，PPT设计美观，展示效果良好。</w:t>
            </w:r>
          </w:p>
        </w:tc>
      </w:tr>
      <w:tr>
        <w:tblPrEx>
          <w:tblLayout w:type="fixed"/>
          <w:tblCellMar>
            <w:top w:w="0" w:type="dxa"/>
            <w:left w:w="107" w:type="dxa"/>
            <w:bottom w:w="81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特色创新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1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2.能够创新教学模式，给学生深刻的学习体验。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3.能够与时俱进地提高信息技术应用能力、教研科研能力。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4.具有较大借鉴和推广价值。</w:t>
            </w:r>
          </w:p>
        </w:tc>
      </w:tr>
      <w:bookmarkEnd w:id="0"/>
    </w:tbl>
    <w:p>
      <w:pPr>
        <w:widowControl w:val="0"/>
        <w:spacing w:after="0" w:line="420" w:lineRule="exact"/>
        <w:ind w:left="0" w:righ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时间控制在</w:t>
      </w:r>
      <w:r>
        <w:rPr>
          <w:sz w:val="28"/>
          <w:szCs w:val="28"/>
        </w:rPr>
        <w:t>12-15分钟，不足12分钟或超过15分钟都将扣去5分。</w:t>
      </w:r>
    </w:p>
    <w:p>
      <w:pPr>
        <w:spacing w:after="0" w:line="240" w:lineRule="auto"/>
        <w:ind w:left="0" w:right="0" w:firstLine="0"/>
      </w:pPr>
      <w:r>
        <w:br w:type="page"/>
      </w:r>
    </w:p>
    <w:p>
      <w:pPr>
        <w:spacing w:after="3" w:line="257" w:lineRule="auto"/>
        <w:ind w:left="-15" w:right="821" w:firstLine="8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二、课堂教学</w:t>
      </w:r>
    </w:p>
    <w:tbl>
      <w:tblPr>
        <w:tblStyle w:val="5"/>
        <w:tblpPr w:leftFromText="180" w:rightFromText="180" w:vertAnchor="text" w:horzAnchor="margin" w:tblpXSpec="center" w:tblpY="28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51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评价指标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教学过程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bCs/>
                <w:kern w:val="0"/>
                <w:sz w:val="24"/>
              </w:rPr>
              <w:t>0分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1.教学目标明确、选题有价值，内容安排合理，符合新时期技术技能人才培养要求，满足学生学习需求；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2.教学策略得当，符合职业院校学生认知规律和教学实际，突出学生主体地位；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采用信息化的教学手段，</w:t>
            </w:r>
            <w:r>
              <w:rPr>
                <w:rFonts w:hint="eastAsia"/>
                <w:sz w:val="24"/>
                <w:szCs w:val="24"/>
              </w:rPr>
              <w:t>数字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/>
                <w:sz w:val="24"/>
                <w:szCs w:val="24"/>
              </w:rPr>
              <w:t>资源和信息化教学设施运用充分、有效；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.教学互动流畅、合理，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/>
                <w:sz w:val="24"/>
                <w:szCs w:val="24"/>
              </w:rPr>
              <w:t>针对学习反馈及时调整教学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/>
                <w:sz w:val="24"/>
                <w:szCs w:val="24"/>
              </w:rPr>
              <w:t>考核与评价科学有效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教学效果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cs="宋体"/>
                <w:bCs/>
                <w:kern w:val="0"/>
                <w:sz w:val="24"/>
              </w:rPr>
              <w:t>5</w:t>
            </w:r>
            <w:r>
              <w:rPr>
                <w:rFonts w:hint="eastAsia" w:cs="宋体"/>
                <w:bCs/>
                <w:kern w:val="0"/>
                <w:sz w:val="24"/>
              </w:rPr>
              <w:t>分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2.课程思政内容与教学内容深度融合；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.切实提高学生学习兴趣和学习能力。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特色创新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15分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1.理念先进，立意新颖，构思独特，技术领先；</w:t>
            </w:r>
          </w:p>
          <w:p>
            <w:pPr>
              <w:widowControl w:val="0"/>
              <w:spacing w:after="0" w:line="420" w:lineRule="exact"/>
              <w:ind w:left="0" w:right="0" w:firstLine="480" w:firstLineChars="200"/>
              <w:rPr>
                <w:rFonts w:hint="eastAsia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/>
                <w:sz w:val="24"/>
                <w:szCs w:val="24"/>
              </w:rPr>
              <w:t>广泛适用于实际教学，有较大推广价值。</w:t>
            </w:r>
          </w:p>
        </w:tc>
      </w:tr>
    </w:tbl>
    <w:p/>
    <w:p>
      <w:pPr>
        <w:widowControl w:val="0"/>
        <w:spacing w:after="0" w:line="420" w:lineRule="exact"/>
        <w:ind w:left="0" w:right="0" w:firstLine="480" w:firstLineChars="200"/>
        <w:rPr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D0"/>
    <w:rsid w:val="00037C13"/>
    <w:rsid w:val="0018103F"/>
    <w:rsid w:val="00202FF4"/>
    <w:rsid w:val="002C78E1"/>
    <w:rsid w:val="00425DD0"/>
    <w:rsid w:val="00432DCE"/>
    <w:rsid w:val="0082442B"/>
    <w:rsid w:val="009E1F9B"/>
    <w:rsid w:val="00B02AA9"/>
    <w:rsid w:val="00C71956"/>
    <w:rsid w:val="00DB70C7"/>
    <w:rsid w:val="00FB041A"/>
    <w:rsid w:val="0FA36690"/>
    <w:rsid w:val="29D32D98"/>
    <w:rsid w:val="31FF2363"/>
    <w:rsid w:val="34CE462D"/>
    <w:rsid w:val="43C9306C"/>
    <w:rsid w:val="7B3D03CB"/>
    <w:rsid w:val="7F9F0AF8"/>
    <w:rsid w:val="E75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3" w:lineRule="auto"/>
      <w:ind w:left="10" w:right="173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0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865</Characters>
  <Lines>7</Lines>
  <Paragraphs>2</Paragraphs>
  <TotalTime>5</TotalTime>
  <ScaleCrop>false</ScaleCrop>
  <LinksUpToDate>false</LinksUpToDate>
  <CharactersWithSpaces>1014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2021-09-13T08:36:00Z</dcterms:created>
  <dc:creator>z</dc:creator>
  <cp:lastModifiedBy>le</cp:lastModifiedBy>
  <dcterms:modified xsi:type="dcterms:W3CDTF">2021-09-14T10:18:38Z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E38BBEE84F6F4BA4B7C3AE391A7C9630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